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41B1">
      <w:pPr>
        <w:spacing w:line="440" w:lineRule="exact"/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  <w:t>附件2</w:t>
      </w:r>
    </w:p>
    <w:p w14:paraId="5EE4782A">
      <w:pPr>
        <w:spacing w:line="440" w:lineRule="exact"/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</w:pPr>
    </w:p>
    <w:p w14:paraId="7710E2E5">
      <w:pPr>
        <w:spacing w:line="440" w:lineRule="exact"/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  <w:t>政策支持文件：</w:t>
      </w:r>
    </w:p>
    <w:p w14:paraId="1A0AF22B">
      <w:pPr>
        <w:spacing w:line="440" w:lineRule="exact"/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</w:pPr>
    </w:p>
    <w:p w14:paraId="4193F16C">
      <w:pPr>
        <w:spacing w:line="440" w:lineRule="exact"/>
        <w:rPr>
          <w:rFonts w:hint="eastAsia" w:ascii="华文仿宋" w:hAnsi="华文仿宋" w:eastAsia="华文仿宋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8"/>
          <w:lang w:val="en-US" w:eastAsia="zh-CN"/>
        </w:rPr>
        <w:t>四川省人力资源和社会保障厅 四川省财政厅 《关于失业保险支持参保职工提升职业技能有关问题的通知》</w:t>
      </w:r>
      <w:r>
        <w:rPr>
          <w:rFonts w:hint="eastAsia" w:ascii="华文仿宋" w:hAnsi="华文仿宋" w:eastAsia="华文仿宋"/>
          <w:sz w:val="24"/>
          <w:szCs w:val="28"/>
          <w:lang w:val="en-US" w:eastAsia="zh-CN"/>
        </w:rPr>
        <w:t xml:space="preserve"> 企业职工累计缴纳失业保险费36个月（23年是12个月）的职工取得初级（五级）补贴标准为1000元；取得中级（四级）补贴标准为1500元；取得高级（三级）补贴标准为2000元。以当年政策文件为准。四川e就业小程序申领。</w:t>
      </w:r>
    </w:p>
    <w:p w14:paraId="6949E669">
      <w:pP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</w:rPr>
        <w:t>中共遂宁市委组织部遂宁市人力资源和社会保障局《关于建立技能人才岗位津贴制度的通知》遂人社办发&lt;2020&gt;45号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面向重点产业企业工作的高技能人才，结合本地实际建立和落实技能人才岗位津贴制度，按高级工、技师、高级技师分别给予300元/月，500元/月，800元/月的岗位津贴。</w:t>
      </w:r>
    </w:p>
    <w:p w14:paraId="2CABD2C5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遂宁市人才工作领导小组关于印发《遂宁市深入推进人才强市战略新十条措施》的通知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第四条 着力培养壮大产业人才队伍 第三点 建立技能人才岗位津贴制度，在重点产业企业工作的高级工、技师、高级技师分别给予300元/月，500元/月，800元/月的岗位津贴，发放期限3年。</w:t>
      </w:r>
    </w:p>
    <w:p w14:paraId="771353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F766F"/>
    <w:multiLevelType w:val="singleLevel"/>
    <w:tmpl w:val="7B3F766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UzMWY4MzllYzQ3ODJjZDI1MjNjZDU2NWNmZGUifQ=="/>
  </w:docVars>
  <w:rsids>
    <w:rsidRoot w:val="00000000"/>
    <w:rsid w:val="4DF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2024-11-06T02:04:44Z</dcterms:created>
  <dc:creator>Administrator</dc:creator>
  <cp:lastModifiedBy>葱葱</cp:lastModifiedBy>
  <dcterms:modified xsi:type="dcterms:W3CDTF">2024-11-06T02:04:54Z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FFF7F8F59F02453D934AFF279326D6B2_12</vt:lpwstr>
  </property>
</Properties>
</file>